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month of January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NIU TECHNOLOGIES</w:t>
      </w:r>
    </w:p>
    <w:p>
      <w:pPr>
        <w:spacing w:after="0" w:line="23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Building C, Rongxin Technology Center,</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Provides Fourth Quarter and Full Year 2025 Sales Volume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January 05, 2026 – Niu Technologies (“NIU” or the “Company”) (NASDAQ: NIU), the world’s leading provider of smart urban mobility solutions, today provided its sales volume results for the fourth quarter and full year 2025.</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4Q 2025</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4Q 2024</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FY2025</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FY2024</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Market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158,782</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1,112,021</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19,920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44,301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85,957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165,246</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178,702</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226,634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1,197,978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924,340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2025, NIU sold 178,702 units, including e-motorcycles, e-mopeds, e-bicycles, kick-scooters and e-bikes. Sales in the China market and international markets were 158,782 and 19,920 units,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China’s smart urban mobility sector experienced seasonal weakness. This, combined with front-loaded demand ahead of new electric bicycle national standards in the third quarter and a higher prior-year comparative base, resulted to a 13% year-on-year decline in total unit sales. Despite these headwinds, our FX “Windstorm” e-motorcycle, launched in late September, resonated strongly with Gen Z riders and became the quarter’s top-selling model. Additionally, our new e-bicycle models, compliant with the latest National Standards, also received positive initial market feedback for their distinctive design and advanced technological features. Building on this momentum, we will continue to enrich our product portfolio, which includes standards-compliant e-bicycles and new e-motorcycles, to ensure our offerings align with evolving market demands and reinforce our strategic confidence as we enter the new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international markets, our e-motorcycle segment continued its favorable trajectory, which we expect to further strengthen in 2026, fueled by ongoing portfolio enhancements and strategic regional penetration. Meanwhile, we are actively optimizing our micromobility strategy to navigate a challenging and fluid operating environment.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full year of 2025, the Company sold a total of 1,197,978 units. The number of units sold in the China market and international markets was 1,112,021 and 85,957,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volume count disclosed above is based on the delivery from our manufacturing facility, which may vary slightly from the sales volume measured from a financial accounting and reporting point of view. NIU’s sales volume represents only one measure of the company’s financial performance and should not be relied upon as an indicator of quarterly financial results, which depend on a variety of factors, including revenues from accessories, spare parts and services, cost of sales, operating expenses,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2026-01-05T06:00:33Z</dcterms:created>
  <dcterms:modified xsi:type="dcterms:W3CDTF">2026-01-05T06:00:33Z</dcterms:modified>
</cp:coreProperties>
</file>