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For the month of November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NIU TECHNOLOGIES</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Building C, Rongxin Technology Center,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 34 Chuangyuan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Chaoyang District, Beijing 100012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Fion Zhou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Fion Zhou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173990</wp:posOffset>
            </wp:positionV>
            <wp:extent cx="98615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615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 Announces Unaudited Third Quarter 2025 Financial Results</w:t>
      </w:r>
    </w:p>
    <w:p>
      <w:pPr>
        <w:spacing w:after="0" w:line="227" w:lineRule="exact"/>
        <w:rPr>
          <w:sz w:val="20"/>
          <w:szCs w:val="20"/>
          <w:color w:val="auto"/>
        </w:rPr>
      </w:pPr>
    </w:p>
    <w:p>
      <w:pPr>
        <w:ind w:left="2820" w:hanging="167"/>
        <w:spacing w:after="0"/>
        <w:tabs>
          <w:tab w:leader="none" w:pos="282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Third Quarter Revenues of RMB 1,693.9 million, increase 65.4% year over year</w:t>
      </w:r>
    </w:p>
    <w:p>
      <w:pPr>
        <w:spacing w:after="0" w:line="225" w:lineRule="exact"/>
        <w:rPr>
          <w:rFonts w:ascii="Times New Roman" w:cs="Times New Roman" w:eastAsia="Times New Roman" w:hAnsi="Times New Roman"/>
          <w:sz w:val="18"/>
          <w:szCs w:val="18"/>
          <w:i w:val="1"/>
          <w:iCs w:val="1"/>
          <w:color w:val="auto"/>
        </w:rPr>
      </w:pPr>
    </w:p>
    <w:p>
      <w:pPr>
        <w:ind w:left="1340" w:hanging="162"/>
        <w:spacing w:after="0"/>
        <w:tabs>
          <w:tab w:leader="none" w:pos="1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Third Quarter Net Income of RMB 81.7 million, compared to net loss of RMB 40.9 million in the same period of last year</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BEIJING, China, November 17, 2025 – Niu Technologies (“NIU”, or “the Company”) (NASDAQ: NIU), the world’s leading provider of smart urban mobility solutions, today announced its unaudited financial results for the third quarter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Highlights</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 1,693.9 million, an increase of 65.4% year over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21.8%, compared with 13.8% in the third quarter of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 81.7 million, compared with net loss of RMB 40.9 million in the third quarter of 2024</w:t>
      </w:r>
    </w:p>
    <w:p>
      <w:pPr>
        <w:spacing w:after="0" w:line="21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Adjusted net income (non-GAAP)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 88.4 million, compared with adjusted net loss of RMB 34.2 million in the third quarter of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Operating Highlights</w:t>
      </w:r>
    </w:p>
    <w:p>
      <w:pPr>
        <w:spacing w:after="0" w:line="22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e-scooters sold was 465,873, up 49.1% year over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e-scooters sold in China was 451,455, up 74.2% year over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e-scooters sold in the international markets was 14,418, down 73.0% year over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franchised stores in China was 4,542 as of September 30,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distributors in our international sales network was 57, covering 53 countries as of September 30,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Yan Li, Chief Executive Officer of the Company, remarked, "In Q3, our peak season, we delivered an impressive 74.2% year-on-year growth in sales volume in China. This remarkable performance was driven by the powerful combination of our compelling product portfolio and strong store expansion momentum. As we enter the seasonal low period and prepare for the implementation of the new national standard, we are proactively advancing our channel expansion and product transition strategies, demonstrating our agility and discipline in navigating evolving market dynamics.”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Li continued, "This year marks the 10th anniversary of NIU’s presence at EICMA, a premier global industry exhibition that has served as an important platform for strengthening our brand influence overseas. We are well-positioned to actively shape and embrace the ongoing evolution of the two-wheeler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1"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income (loss) (non-GAAP) is defined as net income (loss) excluding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3268345</wp:posOffset>
            </wp:positionH>
            <wp:positionV relativeFrom="page">
              <wp:posOffset>586105</wp:posOffset>
            </wp:positionV>
            <wp:extent cx="98615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86155" cy="48831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reached RMB 1,693.9 million, representing a 65.4% increase year-over-year. This growth was mainly driven by a 49.1% increase in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complemented by an 11.0% increase in revenues per e-scooter. The following table shows the revenue breakdown and revenues per e-scooter in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RMB million)</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Q3</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 change YoY</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E-scooter sales from China market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E-scooter sales from international markets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0"/>
        </w:trPr>
        <w:tc>
          <w:tcPr>
            <w:tcW w:w="6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E-scooter sales, sub-total</w:t>
            </w: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gridSpan w:val="2"/>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2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 spare parts and services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0"/>
        </w:trPr>
        <w:tc>
          <w:tcPr>
            <w:tcW w:w="6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60" w:type="dxa"/>
            <w:vAlign w:val="bottom"/>
            <w:gridSpan w:val="2"/>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2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per e-scooter</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38"/>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RMB)</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Q3</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YoY</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E-scooter sales from China market</w:t>
            </w:r>
            <w:r>
              <w:rPr>
                <w:rFonts w:ascii="Times New Roman" w:cs="Times New Roman" w:eastAsia="Times New Roman" w:hAnsi="Times New Roman"/>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3,283</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3,078</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E-scooter sales from international markets</w:t>
            </w:r>
            <w:r>
              <w:rPr>
                <w:rFonts w:ascii="Times New Roman" w:cs="Times New Roman" w:eastAsia="Times New Roman" w:hAnsi="Times New Roman"/>
                <w:sz w:val="29"/>
                <w:szCs w:val="29"/>
                <w:color w:val="auto"/>
                <w:vertAlign w:val="superscript"/>
              </w:rPr>
              <w:t>2</w:t>
            </w:r>
          </w:p>
        </w:tc>
        <w:tc>
          <w:tcPr>
            <w:tcW w:w="14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4,648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0"/>
        </w:trPr>
        <w:tc>
          <w:tcPr>
            <w:tcW w:w="6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E-scooter sales</w:t>
            </w: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gridSpan w:val="2"/>
            <w:vMerge w:val="continue"/>
            <w:shd w:val="clear" w:color="auto" w:fill="CCEEFF"/>
          </w:tcPr>
          <w:p>
            <w:pPr>
              <w:spacing w:after="0"/>
              <w:rPr>
                <w:sz w:val="18"/>
                <w:szCs w:val="18"/>
                <w:color w:val="auto"/>
              </w:rPr>
            </w:pP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3"/>
              </w:rPr>
              <w:t>3,325</w:t>
            </w:r>
          </w:p>
        </w:tc>
        <w:tc>
          <w:tcPr>
            <w:tcW w:w="2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Accessories, spare parts and services</w:t>
            </w:r>
            <w:r>
              <w:rPr>
                <w:rFonts w:ascii="Times New Roman" w:cs="Times New Roman" w:eastAsia="Times New Roman" w:hAnsi="Times New Roman"/>
                <w:sz w:val="29"/>
                <w:szCs w:val="29"/>
                <w:color w:val="auto"/>
                <w:vertAlign w:val="superscript"/>
              </w:rPr>
              <w:t>3</w:t>
            </w: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311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per e-scooter</w:t>
            </w: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60" w:type="dxa"/>
            <w:vAlign w:val="bottom"/>
            <w:gridSpan w:val="2"/>
            <w:vMerge w:val="continue"/>
            <w:shd w:val="clear" w:color="auto" w:fill="CCEEFF"/>
          </w:tcPr>
          <w:p>
            <w:pPr>
              <w:spacing w:after="0"/>
              <w:rPr>
                <w:sz w:val="18"/>
                <w:szCs w:val="18"/>
                <w:color w:val="auto"/>
              </w:rPr>
            </w:pP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3"/>
              </w:rPr>
              <w:t>3,636</w:t>
            </w:r>
          </w:p>
        </w:tc>
        <w:tc>
          <w:tcPr>
            <w:tcW w:w="2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328"/>
        <w:spacing w:after="0" w:line="312" w:lineRule="auto"/>
        <w:tabs>
          <w:tab w:leader="none" w:pos="660" w:val="left"/>
        </w:tabs>
        <w:numPr>
          <w:ilvl w:val="0"/>
          <w:numId w:val="5"/>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E-scooter sales revenues from China market were RMB 1,481.9 million, an increase of 85.8% year-over-year, and represented 95.7% of total e-scooter revenues. The increase was mainly due to a 74.2% increase in sales volume and a 6.7% increase in revenues per e-scooter in China market.</w:t>
      </w:r>
    </w:p>
    <w:p>
      <w:pPr>
        <w:spacing w:after="0" w:line="139" w:lineRule="exact"/>
        <w:rPr>
          <w:rFonts w:ascii="Wingdings" w:cs="Wingdings" w:eastAsia="Wingdings" w:hAnsi="Wingdings"/>
          <w:sz w:val="17"/>
          <w:szCs w:val="17"/>
          <w:b w:val="1"/>
          <w:bCs w:val="1"/>
          <w:color w:val="auto"/>
        </w:rPr>
      </w:pPr>
    </w:p>
    <w:p>
      <w:pPr>
        <w:jc w:val="both"/>
        <w:ind w:left="660" w:hanging="328"/>
        <w:spacing w:after="0" w:line="266" w:lineRule="auto"/>
        <w:tabs>
          <w:tab w:leader="none" w:pos="6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E-scooter sales revenues from international markets were RMB 67.0 million, a decrease of 48.6% year-over-year, and represented 4.3% of total e-scooter revenues. The decrease was mainly due to reduced sales volume and lower revenues per e-scooter of kick-scooters in international markets.</w:t>
      </w:r>
    </w:p>
    <w:p>
      <w:pPr>
        <w:spacing w:after="0" w:line="175" w:lineRule="exact"/>
        <w:rPr>
          <w:rFonts w:ascii="Wingdings" w:cs="Wingdings" w:eastAsia="Wingdings" w:hAnsi="Wingdings"/>
          <w:sz w:val="18"/>
          <w:szCs w:val="18"/>
          <w:b w:val="1"/>
          <w:bCs w:val="1"/>
          <w:color w:val="auto"/>
        </w:rPr>
      </w:pPr>
    </w:p>
    <w:p>
      <w:pPr>
        <w:ind w:left="660" w:right="20" w:hanging="328"/>
        <w:spacing w:after="0" w:line="282" w:lineRule="auto"/>
        <w:tabs>
          <w:tab w:leader="none" w:pos="6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Accessories, spare parts sales and services revenues were RMB 145.0 million, an increase of 50.8% year-over-year, and represented 8.6% of total revenues. The increase was mainly due to an increase in accessories and spare parts sales in China market.</w:t>
      </w:r>
    </w:p>
    <w:p>
      <w:pPr>
        <w:spacing w:after="0" w:line="161" w:lineRule="exact"/>
        <w:rPr>
          <w:rFonts w:ascii="Wingdings" w:cs="Wingdings" w:eastAsia="Wingdings" w:hAnsi="Wingdings"/>
          <w:sz w:val="18"/>
          <w:szCs w:val="18"/>
          <w:b w:val="1"/>
          <w:bCs w:val="1"/>
          <w:color w:val="auto"/>
        </w:rPr>
      </w:pPr>
    </w:p>
    <w:p>
      <w:pPr>
        <w:ind w:left="660" w:hanging="328"/>
        <w:spacing w:after="0" w:line="282" w:lineRule="auto"/>
        <w:tabs>
          <w:tab w:leader="none" w:pos="6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Revenues per e-scooter were RMB 3,636, an increase of 11.0% year-over-year, mainly due to increased sales proportion and higher revenues per e-scooter in China market.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 1,324.1 million, an increase of 50.1% year-over-year, lower than the growth rate of revenues. The cost per e-scooter,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cost of revenues divided by the number of e-scooters sold in a specific period, was RMB 2,842, a slight increase from RMB 2,824 in the third quarter of 2024. The increase resulted from increased costs in international markets, which was partially offset by cost reductions in the China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0" w:lineRule="exact"/>
        <w:rPr>
          <w:sz w:val="20"/>
          <w:szCs w:val="20"/>
          <w:color w:val="auto"/>
        </w:rPr>
      </w:pPr>
    </w:p>
    <w:p>
      <w:pPr>
        <w:ind w:right="120" w:firstLine="8"/>
        <w:spacing w:after="0" w:line="195"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Revenues per e-scooter on e-scooter sales from China or international markets is defined as e-scooter sales revenues from China or international markets divided by the number of e-scooters sold in China or international market in a specific period</w:t>
      </w:r>
    </w:p>
    <w:p>
      <w:pPr>
        <w:spacing w:after="0" w:line="24" w:lineRule="exact"/>
        <w:rPr>
          <w:sz w:val="20"/>
          <w:szCs w:val="20"/>
          <w:color w:val="auto"/>
        </w:rPr>
      </w:pPr>
    </w:p>
    <w:p>
      <w:pPr>
        <w:ind w:right="60" w:firstLine="8"/>
        <w:spacing w:after="0" w:line="195" w:lineRule="auto"/>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Revenues per e-scooter on accessories, spare parts and services is defined as accessories, spare parts and services revenues divided by the total number of e-scooters sold in a specific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3268345</wp:posOffset>
            </wp:positionH>
            <wp:positionV relativeFrom="page">
              <wp:posOffset>586105</wp:posOffset>
            </wp:positionV>
            <wp:extent cx="986155"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86155" cy="488315"/>
                    </a:xfrm>
                    <a:prstGeom prst="rect">
                      <a:avLst/>
                    </a:prstGeom>
                    <a:noFill/>
                  </pic:spPr>
                </pic:pic>
              </a:graphicData>
            </a:graphic>
          </wp:anchor>
        </w:drawing>
      </w:r>
    </w:p>
    <w:p>
      <w:pPr>
        <w:spacing w:after="0" w:line="30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21.8%, compared with 13.8% in the same period of 2024. The increase was mainly driven by a higher proportion of e-scooter sales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improved gross margin in China market, benefiting from our cost-reduction initiatives.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RMB 297.1 million, an increase of 48.1% from the same period of 2024. Operating expenses as a percentage of revenues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17.5%, compared with 19.6% in the third quarter of 2024.</w:t>
      </w:r>
    </w:p>
    <w:p>
      <w:pPr>
        <w:spacing w:after="0" w:line="155" w:lineRule="exact"/>
        <w:rPr>
          <w:sz w:val="20"/>
          <w:szCs w:val="20"/>
          <w:color w:val="auto"/>
        </w:rPr>
      </w:pPr>
    </w:p>
    <w:p>
      <w:pPr>
        <w:jc w:val="both"/>
        <w:ind w:left="660" w:hanging="328"/>
        <w:spacing w:after="0" w:line="268" w:lineRule="auto"/>
        <w:tabs>
          <w:tab w:leader="none" w:pos="660"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were RMB 214.9 million (including RMB 1.2 million of share-based compensation), an increase of 68.3%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 127.7 million in the third quarter of 2024, primarily driven by a RMB 74.7 million increase in spending on marketing and promotion in China market. Selling and marketing expenses as a percentage of revenues was 12.7%, compared with 12.5% in the third quarter of 2024.</w:t>
      </w:r>
    </w:p>
    <w:p>
      <w:pPr>
        <w:spacing w:after="0" w:line="170" w:lineRule="exact"/>
        <w:rPr>
          <w:rFonts w:ascii="Wingdings" w:cs="Wingdings" w:eastAsia="Wingdings" w:hAnsi="Wingdings"/>
          <w:sz w:val="18"/>
          <w:szCs w:val="18"/>
          <w:b w:val="1"/>
          <w:bCs w:val="1"/>
          <w:color w:val="auto"/>
        </w:rPr>
      </w:pPr>
    </w:p>
    <w:p>
      <w:pPr>
        <w:jc w:val="both"/>
        <w:ind w:left="660" w:hanging="328"/>
        <w:spacing w:after="0" w:line="262" w:lineRule="auto"/>
        <w:tabs>
          <w:tab w:leader="none" w:pos="660"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 43.4 million (including RMB 2.2 million of share-based compensation), an increase of 43.2%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RMB 30.3 million in the third quarter of 2024, mainly due to a RMB 6.2 million increase in design and testing expenses, and a RMB 5.9 million increase in staff cost and share-based compensation. Research and development expenses as a percentage of revenues was 2.6%, compared with 3.0% in the third quarter of 2024.</w:t>
      </w:r>
    </w:p>
    <w:p>
      <w:pPr>
        <w:spacing w:after="0" w:line="176" w:lineRule="exact"/>
        <w:rPr>
          <w:rFonts w:ascii="Wingdings" w:cs="Wingdings" w:eastAsia="Wingdings" w:hAnsi="Wingdings"/>
          <w:sz w:val="18"/>
          <w:szCs w:val="18"/>
          <w:b w:val="1"/>
          <w:bCs w:val="1"/>
          <w:color w:val="auto"/>
        </w:rPr>
      </w:pPr>
    </w:p>
    <w:p>
      <w:pPr>
        <w:jc w:val="both"/>
        <w:ind w:left="660" w:hanging="328"/>
        <w:spacing w:after="0" w:line="268" w:lineRule="auto"/>
        <w:tabs>
          <w:tab w:leader="none" w:pos="660"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 38.8 million (including RMB 3.1 million of share-based compensation), a decrease of 8.9%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RMB 42.6 million in the third quarter of 2024, mainly due to reversal of bad-debt provision, partially offset by an increase in taxes and surcharges. General and administrative expenses as a percentage of revenues was 2.3%, compared with 4.2% in the third quarter of 2024.</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excluding share-based compensation </w:t>
      </w:r>
      <w:r>
        <w:rPr>
          <w:rFonts w:ascii="Times New Roman" w:cs="Times New Roman" w:eastAsia="Times New Roman" w:hAnsi="Times New Roman"/>
          <w:sz w:val="18"/>
          <w:szCs w:val="18"/>
          <w:color w:val="auto"/>
        </w:rPr>
        <w:t>were RMB 290.6 million, an increase of 49.8% year over year, and represented 17.2%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compared with 18.9% in the third quarter of 2024.</w:t>
      </w:r>
    </w:p>
    <w:p>
      <w:pPr>
        <w:spacing w:after="0" w:line="155" w:lineRule="exact"/>
        <w:rPr>
          <w:sz w:val="20"/>
          <w:szCs w:val="20"/>
          <w:color w:val="auto"/>
        </w:rPr>
      </w:pPr>
    </w:p>
    <w:p>
      <w:pPr>
        <w:ind w:left="660" w:hanging="328"/>
        <w:spacing w:after="0" w:line="286" w:lineRule="auto"/>
        <w:tabs>
          <w:tab w:leader="none" w:pos="660" w:val="left"/>
        </w:tabs>
        <w:numPr>
          <w:ilvl w:val="0"/>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Selling and marketing expenses excluding share-based compensation </w:t>
      </w:r>
      <w:r>
        <w:rPr>
          <w:rFonts w:ascii="Times New Roman" w:cs="Times New Roman" w:eastAsia="Times New Roman" w:hAnsi="Times New Roman"/>
          <w:sz w:val="18"/>
          <w:szCs w:val="18"/>
          <w:color w:val="auto"/>
        </w:rPr>
        <w:t>were RMB 213.7 million, an increase of 70.6% year over year,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12.6% of revenues, compared with 12.2% in the third quarter of 2024.</w:t>
      </w:r>
    </w:p>
    <w:p>
      <w:pPr>
        <w:spacing w:after="0" w:line="154" w:lineRule="exact"/>
        <w:rPr>
          <w:rFonts w:ascii="Wingdings" w:cs="Wingdings" w:eastAsia="Wingdings" w:hAnsi="Wingdings"/>
          <w:sz w:val="18"/>
          <w:szCs w:val="18"/>
          <w:b w:val="1"/>
          <w:bCs w:val="1"/>
          <w:color w:val="auto"/>
        </w:rPr>
      </w:pPr>
    </w:p>
    <w:p>
      <w:pPr>
        <w:ind w:left="660" w:right="20" w:hanging="328"/>
        <w:spacing w:after="0" w:line="286" w:lineRule="auto"/>
        <w:tabs>
          <w:tab w:leader="none" w:pos="660" w:val="left"/>
        </w:tabs>
        <w:numPr>
          <w:ilvl w:val="0"/>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excluding share-based compensation </w:t>
      </w:r>
      <w:r>
        <w:rPr>
          <w:rFonts w:ascii="Times New Roman" w:cs="Times New Roman" w:eastAsia="Times New Roman" w:hAnsi="Times New Roman"/>
          <w:sz w:val="18"/>
          <w:szCs w:val="18"/>
          <w:color w:val="auto"/>
        </w:rPr>
        <w:t>were RMB 41.2 million, an increase of 45.5% year over year,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2.4% of revenues, compared with 2.8% in the third quarter of 2024.</w:t>
      </w:r>
    </w:p>
    <w:p>
      <w:pPr>
        <w:spacing w:after="0" w:line="154" w:lineRule="exact"/>
        <w:rPr>
          <w:rFonts w:ascii="Wingdings" w:cs="Wingdings" w:eastAsia="Wingdings" w:hAnsi="Wingdings"/>
          <w:sz w:val="18"/>
          <w:szCs w:val="18"/>
          <w:b w:val="1"/>
          <w:bCs w:val="1"/>
          <w:color w:val="auto"/>
        </w:rPr>
      </w:pPr>
    </w:p>
    <w:p>
      <w:pPr>
        <w:ind w:left="660" w:right="20" w:hanging="328"/>
        <w:spacing w:after="0" w:line="286" w:lineRule="auto"/>
        <w:tabs>
          <w:tab w:leader="none" w:pos="660" w:val="left"/>
        </w:tabs>
        <w:numPr>
          <w:ilvl w:val="0"/>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expenses excluding share-based compensation </w:t>
      </w:r>
      <w:r>
        <w:rPr>
          <w:rFonts w:ascii="Times New Roman" w:cs="Times New Roman" w:eastAsia="Times New Roman" w:hAnsi="Times New Roman"/>
          <w:sz w:val="18"/>
          <w:szCs w:val="18"/>
          <w:color w:val="auto"/>
        </w:rPr>
        <w:t>were RMB 35.7 million, a decrease of 11.7% year over year,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2.1% of revenues, compared with 4.0% in the third quarter of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was RMB 6.7 million, remaining flat compared with the same period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 benefit </w:t>
      </w:r>
      <w:r>
        <w:rPr>
          <w:rFonts w:ascii="Times New Roman" w:cs="Times New Roman" w:eastAsia="Times New Roman" w:hAnsi="Times New Roman"/>
          <w:sz w:val="18"/>
          <w:szCs w:val="18"/>
          <w:color w:val="auto"/>
        </w:rPr>
        <w:t>was RMB 0.2 million, compared with RMB 8.6 million in the same period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3268345</wp:posOffset>
            </wp:positionH>
            <wp:positionV relativeFrom="page">
              <wp:posOffset>586105</wp:posOffset>
            </wp:positionV>
            <wp:extent cx="986155"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986155" cy="488315"/>
                    </a:xfrm>
                    <a:prstGeom prst="rect">
                      <a:avLst/>
                    </a:prstGeom>
                    <a:noFill/>
                  </pic:spPr>
                </pic:pic>
              </a:graphicData>
            </a:graphic>
          </wp:anchor>
        </w:drawing>
      </w:r>
    </w:p>
    <w:p>
      <w:pPr>
        <w:spacing w:after="0" w:line="30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 81.7 million, compared with net loss of RMB 40.9 million in the third quarter of 2024. The net income margin was 4.8%,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net loss margin of 4.0% in the same period of 2024.</w:t>
      </w:r>
    </w:p>
    <w:p>
      <w:pPr>
        <w:spacing w:after="0" w:line="15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Adjusted net income (non-GAAP) </w:t>
      </w:r>
      <w:r>
        <w:rPr>
          <w:rFonts w:ascii="Times New Roman" w:cs="Times New Roman" w:eastAsia="Times New Roman" w:hAnsi="Times New Roman"/>
          <w:sz w:val="18"/>
          <w:szCs w:val="18"/>
          <w:color w:val="auto"/>
        </w:rPr>
        <w:t>was RMB 88.4 million, compared with an adjusted net loss of RMB 34.2 million in the third quarter of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net income margin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was 5.2%, compared with an adjusted net loss margin of 3.3% in the same period of 2024.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net income per ADS </w:t>
      </w:r>
      <w:r>
        <w:rPr>
          <w:rFonts w:ascii="Times New Roman" w:cs="Times New Roman" w:eastAsia="Times New Roman" w:hAnsi="Times New Roman"/>
          <w:sz w:val="18"/>
          <w:szCs w:val="18"/>
          <w:color w:val="auto"/>
        </w:rPr>
        <w:t>was RMB 1.02 (US$ 0.14) and RMB 0.99 (US$ 0.14),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As of September 30, 2025, the Company had </w:t>
      </w:r>
      <w:r>
        <w:rPr>
          <w:rFonts w:ascii="Times New Roman" w:cs="Times New Roman" w:eastAsia="Times New Roman" w:hAnsi="Times New Roman"/>
          <w:sz w:val="18"/>
          <w:szCs w:val="18"/>
          <w:b w:val="1"/>
          <w:bCs w:val="1"/>
          <w:color w:val="auto"/>
        </w:rPr>
        <w:t>cash and cash equivalents, term deposits and short-term investments</w:t>
      </w:r>
      <w:r>
        <w:rPr>
          <w:rFonts w:ascii="Times New Roman" w:cs="Times New Roman" w:eastAsia="Times New Roman" w:hAnsi="Times New Roman"/>
          <w:sz w:val="18"/>
          <w:szCs w:val="18"/>
          <w:color w:val="auto"/>
        </w:rPr>
        <w:t xml:space="preserve"> of RMB 1,582.8 million in aggregate. The Company had restricted cash of RMB 213.2 million and short-term bank borrowings of RMB 220.0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NIU expects revenues of the fourth quarter 2025 to be in the range of RMB 737 million to RMB 901 million, representing a year-over-year change of -10% to +10%.</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above outlook is based on information available as of the date of this press release and reflects the Company’s current and preliminary expectation and is subject to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host an earnings conference call on Monday, November 17, 2025 at 8:00 AM U.S. Eastern Time (9:00 PM Beijing/Hong Kong Time) to discuss its third quarter 2025 financial and business results and provide a corporate update.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join via phone, participants need to register in advance of the conference call using the link provided below. Upon registration, participants will receive dial-in numbers and a personal PIN, which will be used to join the conference call.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Event:</w:t>
            </w: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Niu Technologies Third Quarter 2025 Financial Results Conference Call</w:t>
            </w: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Registration Link:</w:t>
            </w:r>
          </w:p>
        </w:tc>
        <w:tc>
          <w:tcPr>
            <w:tcW w:w="628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99"/>
              </w:rPr>
              <w:t>https://register-conf.media-server.com/register/BI83aa7ff351f04d01a367f15554813e24</w:t>
            </w: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the investor relations website at </w:t>
      </w:r>
      <w:r>
        <w:rPr>
          <w:rFonts w:ascii="Times New Roman" w:cs="Times New Roman" w:eastAsia="Times New Roman" w:hAnsi="Times New Roman"/>
          <w:sz w:val="18"/>
          <w:szCs w:val="18"/>
          <w:u w:val="single" w:color="auto"/>
          <w:color w:val="auto"/>
        </w:rPr>
        <w:t>https://ir.niu.com/news-and-events/webcasts-and-presentations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6"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income (loss) margin is defined as adjusted net income (loss) (non-GAAP) as a percentage of the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3268345</wp:posOffset>
            </wp:positionH>
            <wp:positionV relativeFrom="page">
              <wp:posOffset>586105</wp:posOffset>
            </wp:positionV>
            <wp:extent cx="986155"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986155" cy="48831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NIU</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world’s leading provider of smart urban mobility solutions, NIU designs, manufactures and sells high-performance electric motorcycles, mopeds, bicycles, as well as kick-scooters and e-bikes. NIU has a diversified product portfolio that caters to the various demands of our users and addresses different urban travel scenarios. Currently, NIU offers two model lineups, comprising a number of different vehicle types. These include (i) the electric motorcycle, moped and bicycle series, including the NQi, MQi, UQi, FQi series and others, and (ii) the micro-mobility series, including the kick-scooter series KQi and the e-bike series BQi. NIU has adopted an omnichannel retail model, integrating the offline and online channels, to sell its products and provide services to users.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www.niu.com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NIU’s consolidated financial results presented in accordance with the accounting principles generally accepted in the United States of America (“GAAP”), NIU uses the following non-GAAP financial measures: adjusted net income (loss) and adjusted net income (loss) margin. The presentation of these non-GAAP financial measures is not intended to be considered in isolation or as a substitute for the financial information prepared and presented in accordance with GAAP. NIU believes that these non-GAAP financial measures provide meaningful supplemental information regarding its performance and liquidity by excluding certain items that may not be indicative of its operating results. The Company believes that both management and investors benefit from referring to these non-GAAP financial measures in assessing its performance and when planning and forecasting future periods. These non-GAAP financial measures also facilitate management’s internal comparisons to NIU’s historical performance. The Company believes these non-GAAP financial measures are useful to investors in allowing for greater transparency with respect to supplemental information used by management in its financial and operational decision making. A limitation of using these non-GAAP financial measures is that these non-GAAP measures exclude certain items that have been and will continue to be for the foreseeable future a significant component in the Company’s results of operations. These non-GAAP financial measures presented here may not be comparable to similarly titled measures presented by other companies. Other companies may calculate similarly titled measures differently, limiting their usefulness as comparative measures to the Company’s data.</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net income (loss) is defined as net income (loss) excluding share-based compensation expenses. Adjusted net income (loss) margin is defined as adjusted net income (loss) as a percentage of the revenues.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non-GAAP financial measures, please see the tables captioned “Reconciliation of GAAP and Non-GAAP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 at specified rates solely for the convenience of the readers. Unless otherwise stated, all translations from RMB to US$ were made at the rate of RMB 7.1190 to US$ 1.00, the exchange rate in effect as of September 30, 2025, as set forth in the H.10 Statistical release of the Board of Governors of the Federal Reserve System. The Company makes no representation that the RMB or US$ amounts referred could be converted into US$ or RMB, as the case may be, at any particular rate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3268345</wp:posOffset>
            </wp:positionH>
            <wp:positionV relativeFrom="page">
              <wp:posOffset>586105</wp:posOffset>
            </wp:positionV>
            <wp:extent cx="986155"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986155" cy="48831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NIU’s strategic and operational plans, contain forward-looking statements. NIU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NIU’s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NIU’s strategies; NIU’s future business development, financial condition and results of operations; NIU’s ability to maintain and enhance its “NIU” brand; its ability to innovate and successfully launch new products and services; its ability to maintain and expand its offline distribution network; its ability to satisfy the mandated safety standards relating to e-scooters; its ability to secure supply of components and raw materials used in e-scooters; its ability to manufacture, launch and sell smart e-scooters meeting customer expectations; its ability to grow collaboration with operation partners; its ability to control costs associated with its operations; general economic and business conditions in China and globally; and assumptions underlying or related to any of the foregoing. Further information regarding these and other risks is included in NIU’s filings with the Securities and Exchange Commission. All information provided in this press release is as of the date of this press release, and NIU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ir@niu.com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3268345</wp:posOffset>
            </wp:positionH>
            <wp:positionV relativeFrom="page">
              <wp:posOffset>88900</wp:posOffset>
            </wp:positionV>
            <wp:extent cx="986155" cy="488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986155" cy="488315"/>
                    </a:xfrm>
                    <a:prstGeom prst="rect">
                      <a:avLst/>
                    </a:prstGeom>
                    <a:noFill/>
                  </pic:spPr>
                </pic:pic>
              </a:graphicData>
            </a:graphic>
          </wp:anchor>
        </w:drawing>
        <w:t>NIU TECHNOLOGIES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8"/>
        </w:trPr>
        <w:tc>
          <w:tcPr>
            <w:tcW w:w="632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9"/>
                <w:szCs w:val="19"/>
                <w:color w:val="auto"/>
              </w:rPr>
            </w:pP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23"/>
        </w:trPr>
        <w:tc>
          <w:tcPr>
            <w:tcW w:w="63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9"/>
                <w:szCs w:val="19"/>
                <w:color w:val="auto"/>
              </w:rPr>
            </w:pPr>
          </w:p>
        </w:tc>
      </w:tr>
      <w:tr>
        <w:trPr>
          <w:trHeight w:val="24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630,021,303</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1,089,197,454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152,998,659</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deposits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274,351,895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114,178,095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16,038,502</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216,395,796</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213,165,000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29,943,110</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379,382,890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53,291,599</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131,921,419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64,524,314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9,063,677</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649,177,719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676,017,464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94,959,610</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267,938,339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314,141,594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44,127,208</w:t>
            </w:r>
          </w:p>
        </w:tc>
      </w:tr>
      <w:tr>
        <w:trPr>
          <w:trHeight w:val="20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2,169,806,471</w:t>
            </w:r>
          </w:p>
        </w:tc>
        <w:tc>
          <w:tcPr>
            <w:tcW w:w="2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2,850,606,811</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400,422,365</w:t>
            </w:r>
          </w:p>
        </w:tc>
        <w:tc>
          <w:tcPr>
            <w:tcW w:w="100" w:type="dxa"/>
            <w:vAlign w:val="bottom"/>
            <w:tcBorders>
              <w:bottom w:val="single" w:sz="8" w:color="CCEEFF"/>
            </w:tcBorders>
          </w:tcPr>
          <w:p>
            <w:pPr>
              <w:spacing w:after="0"/>
              <w:rPr>
                <w:sz w:val="18"/>
                <w:szCs w:val="18"/>
                <w:color w:val="auto"/>
              </w:rPr>
            </w:pPr>
          </w:p>
        </w:tc>
      </w:tr>
      <w:tr>
        <w:trPr>
          <w:trHeight w:val="237"/>
        </w:trPr>
        <w:tc>
          <w:tcPr>
            <w:tcW w:w="63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320,013,632</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387,577,210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54,442,648</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1,043,801</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843,630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118,504</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71,223,350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76,290,468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10,716,458</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31,752,254</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49,339,350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6,930,657</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19,318,659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29,806,693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4,186,921</w:t>
            </w: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443,351,696</w:t>
            </w:r>
          </w:p>
        </w:tc>
        <w:tc>
          <w:tcPr>
            <w:tcW w:w="2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543,857,351</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76,395,188</w:t>
            </w:r>
          </w:p>
        </w:tc>
        <w:tc>
          <w:tcPr>
            <w:tcW w:w="100" w:type="dxa"/>
            <w:vAlign w:val="bottom"/>
            <w:tcBorders>
              <w:bottom w:val="single" w:sz="8" w:color="CCEEFF"/>
            </w:tcBorders>
          </w:tcPr>
          <w:p>
            <w:pPr>
              <w:spacing w:after="0"/>
              <w:rPr>
                <w:sz w:val="18"/>
                <w:szCs w:val="18"/>
                <w:color w:val="auto"/>
              </w:rPr>
            </w:pPr>
          </w:p>
        </w:tc>
      </w:tr>
      <w:tr>
        <w:trPr>
          <w:trHeight w:val="237"/>
        </w:trPr>
        <w:tc>
          <w:tcPr>
            <w:tcW w:w="63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8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2,613,158,167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3,394,464,162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476,817,553</w:t>
            </w:r>
          </w:p>
        </w:tc>
      </w:tr>
      <w:tr>
        <w:trPr>
          <w:trHeight w:val="223"/>
        </w:trPr>
        <w:tc>
          <w:tcPr>
            <w:tcW w:w="6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bank borrowings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200,000,000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220,000,000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30,903,217</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294,348,768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220,000,000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30,903,217</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869,015,140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1,288,261,300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180,960,992</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1,071,914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1,943,127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272,949</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from customers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35,892,860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199,087,036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27,965,590</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revenue-current</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50,247,103</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71,998,040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10,113,505</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201,356,008</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362,022,831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50,853,044</w:t>
            </w: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1,651,931,793</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2,363,312,334</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331,972,514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revenue-non-current</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16,886,859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20,894,433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2,935,024</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3,269,464</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3,035,446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426,387</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89,990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4,748,388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667,002</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9,697,841</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13,754,351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1,932,062</w:t>
            </w: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29,944,154</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42,432,618</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5,960,475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1,681,875,947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2,405,744,952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337,932,989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90,549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91,766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12,890</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ordinary shares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10,316</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9,504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1,335</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1,988,638,160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2,010,790,675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282,454,091</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(3,129,362)</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(16,568,280)</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(2,327,332)</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(1,054,327,443)</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(1,005,604,455)</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(141,256,420)</w:t>
            </w: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931,282,220</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988,719,210</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138,884,564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2,613,158,167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3,394,464,162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476,817,553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40"/>
        </w:trPr>
        <w:tc>
          <w:tcPr>
            <w:tcW w:w="6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57"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3268345</wp:posOffset>
            </wp:positionH>
            <wp:positionV relativeFrom="page">
              <wp:posOffset>586105</wp:posOffset>
            </wp:positionV>
            <wp:extent cx="986155" cy="488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986155" cy="48831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78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72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7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740" w:type="dxa"/>
            <w:vAlign w:val="bottom"/>
          </w:tcPr>
          <w:p>
            <w:pPr>
              <w:spacing w:after="0"/>
              <w:rPr>
                <w:sz w:val="18"/>
                <w:szCs w:val="18"/>
                <w:color w:val="auto"/>
              </w:rPr>
            </w:pP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RMB</w:t>
            </w:r>
          </w:p>
        </w:tc>
        <w:tc>
          <w:tcPr>
            <w:tcW w:w="200" w:type="dxa"/>
            <w:vAlign w:val="bottom"/>
          </w:tcPr>
          <w:p>
            <w:pPr>
              <w:spacing w:after="0"/>
              <w:rPr>
                <w:sz w:val="18"/>
                <w:szCs w:val="18"/>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US$</w:t>
            </w:r>
          </w:p>
        </w:tc>
        <w:tc>
          <w:tcPr>
            <w:tcW w:w="22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8"/>
                <w:szCs w:val="18"/>
                <w:color w:val="auto"/>
              </w:rPr>
            </w:pPr>
          </w:p>
        </w:tc>
      </w:tr>
      <w:tr>
        <w:trPr>
          <w:trHeight w:val="20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1,023,896,776</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1,693,922,867</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237,943,934</w:t>
            </w:r>
          </w:p>
        </w:tc>
        <w:tc>
          <w:tcPr>
            <w:tcW w:w="13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2,469,116,667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3,631,618,005</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510,130,356</w:t>
            </w:r>
          </w:p>
        </w:tc>
      </w:tr>
      <w:tr>
        <w:trPr>
          <w:trHeight w:val="257"/>
        </w:trPr>
        <w:tc>
          <w:tcPr>
            <w:tcW w:w="3740" w:type="dxa"/>
            <w:vAlign w:val="bottom"/>
          </w:tcPr>
          <w:p>
            <w:pPr>
              <w:ind w:left="20"/>
              <w:spacing w:after="0" w:line="256" w:lineRule="exact"/>
              <w:rPr>
                <w:sz w:val="20"/>
                <w:szCs w:val="20"/>
                <w:color w:val="auto"/>
              </w:rPr>
            </w:pPr>
            <w:r>
              <w:rPr>
                <w:rFonts w:ascii="Times New Roman" w:cs="Times New Roman" w:eastAsia="Times New Roman" w:hAnsi="Times New Roman"/>
                <w:sz w:val="16"/>
                <w:szCs w:val="16"/>
                <w:color w:val="auto"/>
              </w:rPr>
              <w:t>Cost of revenues</w:t>
            </w:r>
            <w:r>
              <w:rPr>
                <w:rFonts w:ascii="Times New Roman" w:cs="Times New Roman" w:eastAsia="Times New Roman" w:hAnsi="Times New Roman"/>
                <w:sz w:val="26"/>
                <w:szCs w:val="26"/>
                <w:color w:val="auto"/>
                <w:vertAlign w:val="superscript"/>
              </w:rPr>
              <w:t>(a)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(882,352,543)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(1,324,115,671)</w:t>
            </w:r>
          </w:p>
        </w:tc>
        <w:tc>
          <w:tcPr>
            <w:tcW w:w="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(185,997,425)</w:t>
            </w: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(2,072,337,778)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(2,891,250,177)</w:t>
            </w:r>
          </w:p>
        </w:tc>
        <w:tc>
          <w:tcPr>
            <w:tcW w:w="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(406,131,504)</w:t>
            </w: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141,544,233</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369,807,196</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51,946,509</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396,778,889</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740,367,828</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103,998,852</w:t>
            </w: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3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3740" w:type="dxa"/>
            <w:vAlign w:val="bottom"/>
          </w:tcPr>
          <w:p>
            <w:pPr>
              <w:ind w:left="20"/>
              <w:spacing w:after="0" w:line="243" w:lineRule="exact"/>
              <w:rPr>
                <w:sz w:val="20"/>
                <w:szCs w:val="20"/>
                <w:color w:val="auto"/>
              </w:rPr>
            </w:pPr>
            <w:r>
              <w:rPr>
                <w:rFonts w:ascii="Times New Roman" w:cs="Times New Roman" w:eastAsia="Times New Roman" w:hAnsi="Times New Roman"/>
                <w:sz w:val="16"/>
                <w:szCs w:val="16"/>
                <w:color w:val="auto"/>
              </w:rPr>
              <w:t>Selling and marketing expenses</w:t>
            </w:r>
            <w:r>
              <w:rPr>
                <w:rFonts w:ascii="Times New Roman" w:cs="Times New Roman" w:eastAsia="Times New Roman" w:hAnsi="Times New Roman"/>
                <w:sz w:val="26"/>
                <w:szCs w:val="26"/>
                <w:color w:val="auto"/>
                <w:vertAlign w:val="superscript"/>
              </w:rPr>
              <w:t>(a)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(127,674,970)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(214,878,440)</w:t>
            </w:r>
          </w:p>
        </w:tc>
        <w:tc>
          <w:tcPr>
            <w:tcW w:w="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(30,183,795)</w:t>
            </w: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(353,235,333)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(531,644,798)</w:t>
            </w:r>
          </w:p>
        </w:tc>
        <w:tc>
          <w:tcPr>
            <w:tcW w:w="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(74,679,702)</w:t>
            </w:r>
          </w:p>
        </w:tc>
      </w:tr>
      <w:tr>
        <w:trPr>
          <w:trHeight w:val="243"/>
        </w:trPr>
        <w:tc>
          <w:tcPr>
            <w:tcW w:w="37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6"/>
                <w:szCs w:val="16"/>
                <w:color w:val="auto"/>
              </w:rPr>
              <w:t>Research and development expenses</w:t>
            </w:r>
            <w:r>
              <w:rPr>
                <w:rFonts w:ascii="Times New Roman" w:cs="Times New Roman" w:eastAsia="Times New Roman" w:hAnsi="Times New Roman"/>
                <w:sz w:val="26"/>
                <w:szCs w:val="26"/>
                <w:color w:val="auto"/>
                <w:vertAlign w:val="superscript"/>
              </w:rPr>
              <w:t>(a)</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(30,299,955)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(43,403,871)</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(6,096,906)</w:t>
            </w:r>
          </w:p>
        </w:tc>
        <w:tc>
          <w:tcPr>
            <w:tcW w:w="13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(91,488,651)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(116,922,390)</w:t>
            </w:r>
          </w:p>
        </w:tc>
        <w:tc>
          <w:tcPr>
            <w:tcW w:w="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(16,423,991)</w:t>
            </w:r>
          </w:p>
        </w:tc>
      </w:tr>
      <w:tr>
        <w:trPr>
          <w:trHeight w:val="257"/>
        </w:trPr>
        <w:tc>
          <w:tcPr>
            <w:tcW w:w="3740" w:type="dxa"/>
            <w:vAlign w:val="bottom"/>
          </w:tcPr>
          <w:p>
            <w:pPr>
              <w:ind w:left="20"/>
              <w:spacing w:after="0" w:line="256" w:lineRule="exact"/>
              <w:rPr>
                <w:sz w:val="20"/>
                <w:szCs w:val="20"/>
                <w:color w:val="auto"/>
              </w:rPr>
            </w:pPr>
            <w:r>
              <w:rPr>
                <w:rFonts w:ascii="Times New Roman" w:cs="Times New Roman" w:eastAsia="Times New Roman" w:hAnsi="Times New Roman"/>
                <w:sz w:val="16"/>
                <w:szCs w:val="16"/>
                <w:color w:val="auto"/>
              </w:rPr>
              <w:t>General and administrative expenses</w:t>
            </w:r>
            <w:r>
              <w:rPr>
                <w:rFonts w:ascii="Times New Roman" w:cs="Times New Roman" w:eastAsia="Times New Roman" w:hAnsi="Times New Roman"/>
                <w:sz w:val="26"/>
                <w:szCs w:val="26"/>
                <w:color w:val="auto"/>
                <w:vertAlign w:val="superscript"/>
              </w:rPr>
              <w:t>(a)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(42,583,209)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(38,791,066)</w:t>
            </w:r>
          </w:p>
        </w:tc>
        <w:tc>
          <w:tcPr>
            <w:tcW w:w="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(5,448,949)</w:t>
            </w: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(112,541,644)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(78,499,446)</w:t>
            </w:r>
          </w:p>
        </w:tc>
        <w:tc>
          <w:tcPr>
            <w:tcW w:w="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(11,026,752)</w:t>
            </w: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(200,558,134)</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(297,073,377)</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(41,729,650)</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(557,265,628)</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(727,066,634)</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(102,130,445)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grants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520,000</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696,948</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97,900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523,756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1,083,838</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152,246</w:t>
            </w:r>
          </w:p>
        </w:tc>
      </w:tr>
      <w:tr>
        <w:trPr>
          <w:trHeight w:val="19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 income</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(58,493,901)</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73,430,767</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10,314,759</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(159,962,983)</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14,385,032</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2,020,653</w:t>
            </w: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3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(1,537,621)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(1,354,828)</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(190,312)</w:t>
            </w:r>
          </w:p>
        </w:tc>
        <w:tc>
          <w:tcPr>
            <w:tcW w:w="13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(4,024,904)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(4,322,848)</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(607,227)</w:t>
            </w: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9,512,697</w:t>
            </w:r>
          </w:p>
        </w:tc>
        <w:tc>
          <w:tcPr>
            <w:tcW w:w="2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6,569,488</w:t>
            </w: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922,811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27,530,058</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20,134,598</w:t>
            </w:r>
          </w:p>
        </w:tc>
        <w:tc>
          <w:tcPr>
            <w:tcW w:w="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2,828,290</w:t>
            </w: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985,634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2,853,384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400,812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1,987,535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3,542,409</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497,599</w:t>
            </w: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(49,533,191)</w:t>
            </w:r>
          </w:p>
        </w:tc>
        <w:tc>
          <w:tcPr>
            <w:tcW w:w="2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81,498,811</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11,448,070</w:t>
            </w:r>
          </w:p>
        </w:tc>
        <w:tc>
          <w:tcPr>
            <w:tcW w:w="22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(134,470,294)</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33,739,191</w:t>
            </w:r>
          </w:p>
        </w:tc>
        <w:tc>
          <w:tcPr>
            <w:tcW w:w="2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4,739,315</w:t>
            </w:r>
          </w:p>
        </w:tc>
        <w:tc>
          <w:tcPr>
            <w:tcW w:w="100" w:type="dxa"/>
            <w:vAlign w:val="bottom"/>
          </w:tcPr>
          <w:p>
            <w:pPr>
              <w:spacing w:after="0"/>
              <w:rPr>
                <w:sz w:val="17"/>
                <w:szCs w:val="17"/>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8,586,698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188,413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26,466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13,807,724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14,983,797</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2,104,761</w:t>
            </w:r>
          </w:p>
        </w:tc>
      </w:tr>
      <w:tr>
        <w:trPr>
          <w:trHeight w:val="24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(40,946,493</w:t>
            </w:r>
          </w:p>
        </w:tc>
        <w:tc>
          <w:tcPr>
            <w:tcW w:w="20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81,687,224</w:t>
            </w:r>
          </w:p>
        </w:tc>
        <w:tc>
          <w:tcPr>
            <w:tcW w:w="2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11,474,536</w:t>
            </w:r>
          </w:p>
        </w:tc>
        <w:tc>
          <w:tcPr>
            <w:tcW w:w="22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(120,662,570</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48,722,988</w:t>
            </w:r>
          </w:p>
        </w:tc>
        <w:tc>
          <w:tcPr>
            <w:tcW w:w="220" w:type="dxa"/>
            <w:vAlign w:val="bottom"/>
            <w:tcBorders>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6,844,076</w:t>
            </w:r>
          </w:p>
        </w:tc>
        <w:tc>
          <w:tcPr>
            <w:tcW w:w="100" w:type="dxa"/>
            <w:vAlign w:val="bottom"/>
            <w:tcBorders>
              <w:bottom w:val="single" w:sz="8" w:color="CCEEFF"/>
            </w:tcBorders>
          </w:tcPr>
          <w:p>
            <w:pPr>
              <w:spacing w:after="0"/>
              <w:rPr>
                <w:sz w:val="21"/>
                <w:szCs w:val="21"/>
                <w:color w:val="auto"/>
              </w:rPr>
            </w:pPr>
          </w:p>
        </w:tc>
      </w:tr>
      <w:tr>
        <w:trPr>
          <w:trHeight w:val="212"/>
        </w:trPr>
        <w:tc>
          <w:tcPr>
            <w:tcW w:w="3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 net of nil</w:t>
            </w: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(6,430,430)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(3,328,193)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(467,508)</w:t>
            </w:r>
          </w:p>
        </w:tc>
        <w:tc>
          <w:tcPr>
            <w:tcW w:w="13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(3,897,676)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(13,438,918)</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(1,887,754)</w:t>
            </w:r>
          </w:p>
        </w:tc>
      </w:tr>
      <w:tr>
        <w:trPr>
          <w:trHeight w:val="26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 income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(47,376,923)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78,359,031</w:t>
            </w:r>
          </w:p>
        </w:tc>
        <w:tc>
          <w:tcPr>
            <w:tcW w:w="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11,007,028</w:t>
            </w: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(124,560,246)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35,284,070</w:t>
            </w:r>
          </w:p>
        </w:tc>
        <w:tc>
          <w:tcPr>
            <w:tcW w:w="6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4,956,322</w:t>
            </w:r>
          </w:p>
        </w:tc>
      </w:tr>
      <w:tr>
        <w:trPr>
          <w:trHeight w:val="186"/>
        </w:trPr>
        <w:tc>
          <w:tcPr>
            <w:tcW w:w="3740" w:type="dxa"/>
            <w:vAlign w:val="bottom"/>
            <w:tcBorders>
              <w:top w:val="single" w:sz="8" w:color="CCEEFF"/>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Net (loss) income per ordinary share</w:t>
            </w: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0.51</w:t>
            </w: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0.07</w:t>
            </w: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0.31</w:t>
            </w:r>
          </w:p>
        </w:tc>
        <w:tc>
          <w:tcPr>
            <w:tcW w:w="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0.04</w:t>
            </w: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0.49</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0.07</w:t>
            </w:r>
          </w:p>
        </w:tc>
        <w:tc>
          <w:tcPr>
            <w:tcW w:w="13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0.30</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0.04</w:t>
            </w:r>
          </w:p>
        </w:tc>
      </w:tr>
      <w:tr>
        <w:trPr>
          <w:trHeight w:val="22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per ADS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(0.52)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0.14</w:t>
            </w:r>
          </w:p>
        </w:tc>
        <w:tc>
          <w:tcPr>
            <w:tcW w:w="13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0.61</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0.09</w:t>
            </w: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0.99</w:t>
            </w: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0.14</w:t>
            </w: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0.59</w:t>
            </w:r>
          </w:p>
        </w:tc>
        <w:tc>
          <w:tcPr>
            <w:tcW w:w="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0.08</w:t>
            </w:r>
          </w:p>
        </w:tc>
      </w:tr>
      <w:tr>
        <w:trPr>
          <w:trHeight w:val="202"/>
        </w:trPr>
        <w:tc>
          <w:tcPr>
            <w:tcW w:w="3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ordinary shares and</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ordinary shares equivalents outstanding used in</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computing net (loss) income per ordinary share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158,808,425</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159,815,968</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159,815,968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158,356,359</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159,606,943</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159,606,943</w:t>
            </w: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158,808,425</w:t>
            </w:r>
          </w:p>
        </w:tc>
        <w:tc>
          <w:tcPr>
            <w:tcW w:w="2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165,631,796</w:t>
            </w: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165,631,796</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158,356,359</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164,712,213</w:t>
            </w:r>
          </w:p>
        </w:tc>
        <w:tc>
          <w:tcPr>
            <w:tcW w:w="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164,712,213</w:t>
            </w:r>
          </w:p>
        </w:tc>
      </w:tr>
      <w:tr>
        <w:trPr>
          <w:trHeight w:val="18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ADS outstanding used</w:t>
            </w: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 computing net (loss) income per ADS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79,404,213</w:t>
            </w:r>
          </w:p>
        </w:tc>
        <w:tc>
          <w:tcPr>
            <w:tcW w:w="2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79,907,984</w:t>
            </w: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79,907,984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79,178,180</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79,803,472</w:t>
            </w:r>
          </w:p>
        </w:tc>
        <w:tc>
          <w:tcPr>
            <w:tcW w:w="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79,803,472</w:t>
            </w: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79,404,213</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82,815,898</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82,815,898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79,178,180</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82,356,107</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82,356,107</w:t>
            </w:r>
          </w:p>
        </w:tc>
      </w:tr>
    </w:tbl>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 Includes share-based compensation expenses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78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720" w:type="dxa"/>
            <w:vAlign w:val="bottom"/>
            <w:gridSpan w:val="7"/>
          </w:tcPr>
          <w:p>
            <w:pPr>
              <w:ind w:left="6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37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3740" w:type="dxa"/>
            <w:vAlign w:val="bottom"/>
          </w:tcPr>
          <w:p>
            <w:pPr>
              <w:spacing w:after="0"/>
              <w:rPr>
                <w:sz w:val="17"/>
                <w:szCs w:val="17"/>
                <w:color w:val="auto"/>
              </w:rPr>
            </w:pP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RMB</w:t>
            </w:r>
          </w:p>
        </w:tc>
        <w:tc>
          <w:tcPr>
            <w:tcW w:w="200" w:type="dxa"/>
            <w:vAlign w:val="bottom"/>
          </w:tcPr>
          <w:p>
            <w:pPr>
              <w:spacing w:after="0"/>
              <w:rPr>
                <w:sz w:val="17"/>
                <w:szCs w:val="17"/>
                <w:color w:val="auto"/>
              </w:rPr>
            </w:pPr>
          </w:p>
        </w:tc>
        <w:tc>
          <w:tcPr>
            <w:tcW w:w="15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RMB</w:t>
            </w: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US$</w:t>
            </w:r>
          </w:p>
        </w:tc>
        <w:tc>
          <w:tcPr>
            <w:tcW w:w="22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7"/>
                <w:szCs w:val="17"/>
                <w:color w:val="auto"/>
              </w:rPr>
            </w:pPr>
          </w:p>
        </w:tc>
        <w:tc>
          <w:tcPr>
            <w:tcW w:w="150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RMB</w:t>
            </w: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7"/>
                <w:szCs w:val="17"/>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154,379</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224,146</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31,486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596,268</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701,310</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98,512</w:t>
            </w: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2,408,003</w:t>
            </w:r>
          </w:p>
        </w:tc>
        <w:tc>
          <w:tcPr>
            <w:tcW w:w="2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1,181,757</w:t>
            </w:r>
          </w:p>
        </w:tc>
        <w:tc>
          <w:tcPr>
            <w:tcW w:w="1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166,000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5,746,819</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4,500,339</w:t>
            </w:r>
          </w:p>
        </w:tc>
        <w:tc>
          <w:tcPr>
            <w:tcW w:w="1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632,159</w:t>
            </w: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1,997,306</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2,219,375</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311,754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5,270,563</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7,631,528</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1,071,994</w:t>
            </w: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2,138,305</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3,059,814</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429,810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6,764,744</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9,202,445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1,292,660</w:t>
            </w:r>
          </w:p>
        </w:tc>
      </w:tr>
      <w:tr>
        <w:trPr>
          <w:trHeight w:val="19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share-based compensation expenses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6,697,993</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6,685,092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939,050</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18,378,394</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22,035,622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3,095,325</w:t>
            </w:r>
          </w:p>
        </w:tc>
        <w:tc>
          <w:tcPr>
            <w:tcW w:w="100" w:type="dxa"/>
            <w:vAlign w:val="bottom"/>
            <w:tcBorders>
              <w:top w:val="single" w:sz="8" w:color="CCEEFF"/>
            </w:tcBorders>
            <w:shd w:val="clear" w:color="auto" w:fill="CCEEFF"/>
          </w:tcPr>
          <w:p>
            <w:pPr>
              <w:spacing w:after="0"/>
              <w:rPr>
                <w:sz w:val="17"/>
                <w:szCs w:val="17"/>
                <w:color w:val="auto"/>
              </w:rPr>
            </w:pPr>
          </w:p>
        </w:tc>
      </w:tr>
      <w:tr>
        <w:trPr>
          <w:trHeight w:val="675"/>
        </w:trPr>
        <w:tc>
          <w:tcPr>
            <w:tcW w:w="37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3268345</wp:posOffset>
            </wp:positionH>
            <wp:positionV relativeFrom="page">
              <wp:posOffset>586105</wp:posOffset>
            </wp:positionV>
            <wp:extent cx="986155" cy="488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86155" cy="48831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RESULTS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410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38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32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28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19"/>
                <w:szCs w:val="19"/>
                <w:color w:val="auto"/>
              </w:rPr>
            </w:pPr>
          </w:p>
        </w:tc>
        <w:tc>
          <w:tcPr>
            <w:tcW w:w="15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5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(40,946,493)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81,687,224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11,474,536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(120,662,570)</w:t>
            </w:r>
          </w:p>
        </w:tc>
        <w:tc>
          <w:tcPr>
            <w:tcW w:w="1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48,722,988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6,844,076</w:t>
            </w:r>
          </w:p>
        </w:tc>
      </w:tr>
      <w:tr>
        <w:trPr>
          <w:trHeight w:val="243"/>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6,697,993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6,685,092</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939,050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18,378,394</w:t>
            </w:r>
          </w:p>
        </w:tc>
        <w:tc>
          <w:tcPr>
            <w:tcW w:w="1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22,035,622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3,095,325</w:t>
            </w:r>
          </w:p>
        </w:tc>
      </w:tr>
      <w:tr>
        <w:trPr>
          <w:trHeight w:val="232"/>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 income</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(34,248,500)</w:t>
            </w:r>
          </w:p>
        </w:tc>
        <w:tc>
          <w:tcPr>
            <w:tcW w:w="26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88,372,316</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12,413,586</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(102,284,176)</w:t>
            </w:r>
          </w:p>
        </w:tc>
        <w:tc>
          <w:tcPr>
            <w:tcW w:w="220" w:type="dxa"/>
            <w:vAlign w:val="bottom"/>
          </w:tcPr>
          <w:p>
            <w:pPr>
              <w:spacing w:after="0"/>
              <w:rPr>
                <w:sz w:val="20"/>
                <w:szCs w:val="20"/>
                <w:color w:val="auto"/>
              </w:rPr>
            </w:pPr>
          </w:p>
        </w:tc>
        <w:tc>
          <w:tcPr>
            <w:tcW w:w="11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w w:val="96"/>
              </w:rPr>
              <w:t>70,758,610</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9,939,401</w:t>
            </w:r>
          </w:p>
        </w:tc>
        <w:tc>
          <w:tcPr>
            <w:tcW w:w="100" w:type="dxa"/>
            <w:vAlign w:val="bottom"/>
          </w:tcPr>
          <w:p>
            <w:pPr>
              <w:spacing w:after="0"/>
              <w:rPr>
                <w:sz w:val="20"/>
                <w:szCs w:val="20"/>
                <w:color w:val="auto"/>
              </w:rPr>
            </w:pPr>
          </w:p>
        </w:tc>
      </w:tr>
      <w:tr>
        <w:trPr>
          <w:trHeight w:val="653"/>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2025-11-17T15:11:02Z</dcterms:created>
  <dcterms:modified xsi:type="dcterms:W3CDTF">2025-11-17T15:11:02Z</dcterms:modified>
</cp:coreProperties>
</file>